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1E" w:rsidRPr="00D25A63" w:rsidRDefault="00F5521E" w:rsidP="00F5521E">
      <w:pPr>
        <w:pStyle w:val="Legenda"/>
        <w:keepNext/>
        <w:spacing w:after="0" w:line="360" w:lineRule="auto"/>
        <w:ind w:firstLine="85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5A63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TABELA 1 - Características dos pacientes</w:t>
      </w:r>
    </w:p>
    <w:tbl>
      <w:tblPr>
        <w:tblStyle w:val="GradeClara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1427"/>
        <w:gridCol w:w="1479"/>
        <w:gridCol w:w="1479"/>
        <w:gridCol w:w="1479"/>
        <w:gridCol w:w="1153"/>
      </w:tblGrid>
      <w:tr w:rsidR="00F5521E" w:rsidRPr="00D25A63" w:rsidTr="00AA7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proofErr w:type="gram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</w:t>
            </w:r>
            <w:proofErr w:type="gramEnd"/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Idade (anos)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59,00 ±16,93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63,73 ± 16,54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61,67 ± 14,27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62,75 ± 18,87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,9599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Peso (Kg)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65,55±16,76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66,80 ± 12,94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71,08 ± 15,97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68,25 ± 17,62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,7941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Estatura (cm)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162,6±9,08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163,3 ± 8,29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163,4 ± 10,81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161,3 ± 10,25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,9589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IMC (Kg/m²)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24,71 ±5,47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25,07 ± 4,81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26,63 ± 5,84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26,05 ± 5,43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,9479</w:t>
            </w:r>
          </w:p>
        </w:tc>
      </w:tr>
    </w:tbl>
    <w:p w:rsidR="00F5521E" w:rsidRPr="00D25A63" w:rsidRDefault="00F5521E" w:rsidP="00F5521E">
      <w:pPr>
        <w:spacing w:line="360" w:lineRule="auto"/>
        <w:ind w:firstLine="851"/>
        <w:jc w:val="both"/>
        <w:rPr>
          <w:rFonts w:asciiTheme="minorHAnsi" w:hAnsiTheme="minorHAnsi" w:cstheme="minorHAnsi"/>
          <w:color w:val="000000" w:themeColor="text1"/>
        </w:rPr>
      </w:pPr>
      <w:r w:rsidRPr="00D25A63">
        <w:rPr>
          <w:rFonts w:asciiTheme="minorHAnsi" w:eastAsia="Arial" w:hAnsiTheme="minorHAnsi" w:cstheme="minorHAnsi"/>
          <w:color w:val="000000" w:themeColor="text1"/>
        </w:rPr>
        <w:t>Valores expressos em Média ± Desvio Padrão; Kg= quilogramas; cm= centímetros;</w:t>
      </w:r>
    </w:p>
    <w:p w:rsidR="00F5521E" w:rsidRPr="00D25A63" w:rsidRDefault="00F5521E" w:rsidP="00F5521E">
      <w:pPr>
        <w:spacing w:line="360" w:lineRule="auto"/>
        <w:ind w:firstLine="851"/>
        <w:jc w:val="both"/>
        <w:rPr>
          <w:rFonts w:asciiTheme="minorHAnsi" w:eastAsia="Arial" w:hAnsiTheme="minorHAnsi" w:cstheme="minorHAnsi"/>
          <w:color w:val="000000" w:themeColor="text1"/>
        </w:rPr>
      </w:pPr>
      <w:r w:rsidRPr="00D25A63">
        <w:rPr>
          <w:rFonts w:asciiTheme="minorHAnsi" w:eastAsia="Arial" w:hAnsiTheme="minorHAnsi" w:cstheme="minorHAnsi"/>
          <w:color w:val="000000" w:themeColor="text1"/>
        </w:rPr>
        <w:t>IMC= Índice de massa corporal; p= Valor de Probabilidade.</w:t>
      </w:r>
    </w:p>
    <w:p w:rsidR="00F66D55" w:rsidRDefault="00F66D55"/>
    <w:p w:rsidR="00F5521E" w:rsidRPr="00D25A63" w:rsidRDefault="00F5521E" w:rsidP="00F5521E">
      <w:pPr>
        <w:spacing w:line="360" w:lineRule="auto"/>
        <w:ind w:firstLine="851"/>
        <w:rPr>
          <w:rFonts w:asciiTheme="minorHAnsi" w:hAnsiTheme="minorHAnsi" w:cstheme="minorHAnsi"/>
          <w:color w:val="000000" w:themeColor="text1"/>
        </w:rPr>
      </w:pPr>
    </w:p>
    <w:p w:rsidR="00F5521E" w:rsidRPr="00D25A63" w:rsidRDefault="00F5521E" w:rsidP="00F5521E">
      <w:pPr>
        <w:spacing w:line="360" w:lineRule="auto"/>
        <w:ind w:firstLine="851"/>
        <w:jc w:val="both"/>
        <w:rPr>
          <w:rFonts w:asciiTheme="minorHAnsi" w:hAnsiTheme="minorHAnsi" w:cstheme="minorHAnsi"/>
          <w:b/>
          <w:color w:val="000000" w:themeColor="text1"/>
        </w:rPr>
      </w:pPr>
      <w:r w:rsidRPr="00D25A63">
        <w:rPr>
          <w:rFonts w:asciiTheme="minorHAnsi" w:eastAsia="Arial" w:hAnsiTheme="minorHAnsi" w:cstheme="minorHAnsi"/>
          <w:b/>
          <w:bCs/>
          <w:color w:val="000000" w:themeColor="text1"/>
        </w:rPr>
        <w:t>TABELA 2 - Exames mensais, trimestrais e semestrais.</w:t>
      </w:r>
    </w:p>
    <w:tbl>
      <w:tblPr>
        <w:tblStyle w:val="GradeClara1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559"/>
        <w:gridCol w:w="1701"/>
        <w:gridCol w:w="957"/>
      </w:tblGrid>
      <w:tr w:rsidR="00F5521E" w:rsidRPr="00D25A63" w:rsidTr="00AA7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1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4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proofErr w:type="gram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</w:t>
            </w:r>
            <w:proofErr w:type="gramEnd"/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Hemoglobina(g/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10,02±0,57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10,05±0,23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10,20±0,31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9,97 ±0,37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,5486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Hematócrito (%)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30,78±1,67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31,20±0,69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31,70±1,28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31,13±1,03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,6988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UréiaPré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-Diálise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104,8±4,80*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125,6±7,89*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115,7±7,05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119,0±10,23*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,0007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Uréia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 xml:space="preserve"> Pós-Diálise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36,23±6,72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41,15±2,54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36,49±2,26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40,12±4,00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,0762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Potássio (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mEq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/L)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4,66 ±0,34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5,359±0,19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5,63±0,28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5,30 ±0,21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,0003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Cálcio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8,66± 0,26*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8,914±0,26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9,14±0,36*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9,12± 0,35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,0238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Fósforo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5,21±0,28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5,888±0,60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5,86±0,38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5,78±0,24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,0076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TGP (U/L)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26,68±7,84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23,63±4,49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24,58±4,39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25,33±5,73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,8887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Creatinina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5,97 ±0,19*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7,746±0,28*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8,13±0,74*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7,37 ±1,98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,0017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Proteina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 xml:space="preserve"> C Reativa (mg/L)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16,84±10,91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20,10±8,17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13,23±3,45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27,15±10,43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,0138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6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Exames trimestrais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lastRenderedPageBreak/>
              <w:t>Transferrina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 xml:space="preserve"> (µg/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176,4±3,04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170,7±4,42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174,8±2,83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170,6±5,47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,2276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Ferritina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 xml:space="preserve"> (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ng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mL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350,0±75,87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465,8±81,2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326,2±83,48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413,5±101,0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,2875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Ferro (µg/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73,48±12,35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73,65±4,19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80,00±10,00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80,42±7,48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,7152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Fosfatase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 xml:space="preserve"> Alcalina (U/L)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83,25±8,22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94,67±8,81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87,14±3,92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101,3±5,79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,0787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Proteína Total (g/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6,34±0,23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6,69±0,31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6,70±0,06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6,79±0,07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,1349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Albumina (g/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3,56±0,16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3,74±0,18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3,97±0,10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4,01±0,13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,0656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6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rPr>
                <w:rFonts w:asciiTheme="minorHAnsi" w:hAnsiTheme="minorHAnsi" w:cstheme="minorHAnsi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Exame semestral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Paratormônio (PTH)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181,9±52,92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242,9±105,1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176,1±91,87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174,8±52,79</w:t>
            </w:r>
          </w:p>
        </w:tc>
        <w:tc>
          <w:tcPr>
            <w:tcW w:w="957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,7610</w:t>
            </w:r>
          </w:p>
        </w:tc>
      </w:tr>
    </w:tbl>
    <w:p w:rsidR="00F5521E" w:rsidRPr="00D25A63" w:rsidRDefault="00F5521E" w:rsidP="00F5521E">
      <w:pPr>
        <w:spacing w:line="360" w:lineRule="auto"/>
        <w:ind w:firstLine="851"/>
        <w:jc w:val="both"/>
        <w:rPr>
          <w:rFonts w:asciiTheme="minorHAnsi" w:hAnsiTheme="minorHAnsi" w:cstheme="minorHAnsi"/>
          <w:color w:val="000000" w:themeColor="text1"/>
        </w:rPr>
      </w:pPr>
      <w:r w:rsidRPr="00D25A63">
        <w:rPr>
          <w:rFonts w:asciiTheme="minorHAnsi" w:eastAsia="Arial" w:hAnsiTheme="minorHAnsi" w:cstheme="minorHAnsi"/>
          <w:color w:val="000000" w:themeColor="text1"/>
        </w:rPr>
        <w:t xml:space="preserve">Valores expressos em Média ± Desvio Padrão; p= Valor de Probabilidade. </w:t>
      </w:r>
    </w:p>
    <w:p w:rsidR="00F5521E" w:rsidRDefault="00F5521E"/>
    <w:p w:rsidR="00F5521E" w:rsidRDefault="00F5521E">
      <w:bookmarkStart w:id="0" w:name="_GoBack"/>
      <w:bookmarkEnd w:id="0"/>
    </w:p>
    <w:p w:rsidR="00F5521E" w:rsidRPr="00D25A63" w:rsidRDefault="00F5521E" w:rsidP="00F5521E">
      <w:pPr>
        <w:spacing w:line="360" w:lineRule="auto"/>
        <w:ind w:firstLine="851"/>
        <w:jc w:val="both"/>
        <w:rPr>
          <w:rFonts w:asciiTheme="minorHAnsi" w:hAnsiTheme="minorHAnsi" w:cstheme="minorHAnsi"/>
          <w:b/>
          <w:color w:val="000000" w:themeColor="text1"/>
        </w:rPr>
      </w:pPr>
      <w:r w:rsidRPr="00D25A63">
        <w:rPr>
          <w:rFonts w:asciiTheme="minorHAnsi" w:eastAsia="Arial" w:hAnsiTheme="minorHAnsi" w:cstheme="minorHAnsi"/>
          <w:b/>
          <w:bCs/>
          <w:color w:val="000000" w:themeColor="text1"/>
        </w:rPr>
        <w:t>TABELA 3 - Exames Anuais</w:t>
      </w:r>
    </w:p>
    <w:tbl>
      <w:tblPr>
        <w:tblStyle w:val="GradeClara1"/>
        <w:tblW w:w="9488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24"/>
        <w:gridCol w:w="1819"/>
        <w:gridCol w:w="1843"/>
        <w:gridCol w:w="733"/>
      </w:tblGrid>
      <w:tr w:rsidR="00F5521E" w:rsidRPr="00D25A63" w:rsidTr="00AA7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1</w:t>
            </w:r>
          </w:p>
        </w:tc>
        <w:tc>
          <w:tcPr>
            <w:tcW w:w="1724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2</w:t>
            </w:r>
          </w:p>
        </w:tc>
        <w:tc>
          <w:tcPr>
            <w:tcW w:w="181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Grupo 4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ind w:firstLine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proofErr w:type="gram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p</w:t>
            </w:r>
            <w:proofErr w:type="gramEnd"/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HDL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49,91±13,32*</w:t>
            </w:r>
          </w:p>
        </w:tc>
        <w:tc>
          <w:tcPr>
            <w:tcW w:w="1724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49,50±16,60*</w:t>
            </w:r>
          </w:p>
        </w:tc>
        <w:tc>
          <w:tcPr>
            <w:tcW w:w="181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49,75±19,32*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37,25±21,98*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0,05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LDL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80,54±36,97</w:t>
            </w:r>
          </w:p>
        </w:tc>
        <w:tc>
          <w:tcPr>
            <w:tcW w:w="1724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101,3±19,21*</w:t>
            </w:r>
          </w:p>
        </w:tc>
        <w:tc>
          <w:tcPr>
            <w:tcW w:w="181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91,43±35,13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76,73±40,05*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0,05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VLDL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39,72±21,75</w:t>
            </w:r>
          </w:p>
        </w:tc>
        <w:tc>
          <w:tcPr>
            <w:tcW w:w="1724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33,50±11,82</w:t>
            </w:r>
          </w:p>
        </w:tc>
        <w:tc>
          <w:tcPr>
            <w:tcW w:w="181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43,95±20,74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46,27±32,69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0,05</w:t>
            </w:r>
          </w:p>
        </w:tc>
      </w:tr>
      <w:tr w:rsidR="00F5521E" w:rsidRPr="00D25A63" w:rsidTr="00AA7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Triglicerídeos (mg/</w:t>
            </w:r>
            <w:proofErr w:type="spellStart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dL</w:t>
            </w:r>
            <w:proofErr w:type="spellEnd"/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244,1±246,7*</w:t>
            </w:r>
          </w:p>
        </w:tc>
        <w:tc>
          <w:tcPr>
            <w:tcW w:w="1724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162,9±57,87*</w:t>
            </w:r>
          </w:p>
        </w:tc>
        <w:tc>
          <w:tcPr>
            <w:tcW w:w="181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215,1±103,2*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233,1±162,9*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0,05</w:t>
            </w:r>
          </w:p>
        </w:tc>
      </w:tr>
      <w:tr w:rsidR="00F5521E" w:rsidRPr="00D25A63" w:rsidTr="00AA7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Alumínio (g/L)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34,66±43,88*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724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31,34±30,56*</w:t>
            </w:r>
          </w:p>
        </w:tc>
        <w:tc>
          <w:tcPr>
            <w:tcW w:w="1819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15,34±7,943*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1843" w:type="dxa"/>
            <w:tcBorders>
              <w:left w:val="nil"/>
              <w:right w:val="nil"/>
            </w:tcBorders>
            <w:noWrap/>
            <w:hideMark/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22,51±13,68*</w:t>
            </w:r>
            <w:r w:rsidRPr="00D25A63">
              <w:rPr>
                <w:rFonts w:asciiTheme="minorHAnsi" w:eastAsia="Arial" w:hAnsiTheme="minorHAnsi" w:cstheme="minorHAnsi"/>
                <w:color w:val="000000" w:themeColor="text1"/>
                <w:vertAlign w:val="superscript"/>
              </w:rPr>
              <w:t>#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:rsidR="00F5521E" w:rsidRPr="00D25A63" w:rsidRDefault="00F5521E" w:rsidP="00AA742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D25A63">
              <w:rPr>
                <w:rFonts w:asciiTheme="minorHAnsi" w:eastAsia="Arial" w:hAnsiTheme="minorHAnsi" w:cstheme="minorHAnsi"/>
                <w:color w:val="000000" w:themeColor="text1"/>
              </w:rPr>
              <w:t>0,05</w:t>
            </w:r>
          </w:p>
        </w:tc>
      </w:tr>
    </w:tbl>
    <w:p w:rsidR="00F5521E" w:rsidRPr="00D25A63" w:rsidRDefault="00F5521E" w:rsidP="00F5521E">
      <w:pPr>
        <w:spacing w:line="36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D25A63">
        <w:rPr>
          <w:rFonts w:asciiTheme="minorHAnsi" w:eastAsia="Arial" w:hAnsiTheme="minorHAnsi" w:cstheme="minorHAnsi"/>
          <w:color w:val="000000" w:themeColor="text1"/>
        </w:rPr>
        <w:t>Valores expressos em Média ± Desvio Padrão; p= Valor de Probabilidade.</w:t>
      </w:r>
    </w:p>
    <w:p w:rsidR="00F5521E" w:rsidRDefault="00F5521E"/>
    <w:sectPr w:rsidR="00F55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1E"/>
    <w:rsid w:val="00F5521E"/>
    <w:rsid w:val="00F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25FB8-F9E4-45F9-A43E-CD995DA8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F5521E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table" w:customStyle="1" w:styleId="GradeClara1">
    <w:name w:val="Grade Clara1"/>
    <w:basedOn w:val="Tabelanormal"/>
    <w:uiPriority w:val="62"/>
    <w:rsid w:val="00F55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2016-06-29T00:55:00Z</dcterms:created>
  <dcterms:modified xsi:type="dcterms:W3CDTF">2016-06-29T01:00:00Z</dcterms:modified>
</cp:coreProperties>
</file>